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关于《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郑东新区博学路办事处关于印发郑东新区博学路办事处关于推进“三项工程 一项管理”改进城市管理与改善人居环境的实施意见的通知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》的起草说明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文件起草背景</w:t>
      </w:r>
    </w:p>
    <w:p>
      <w:pPr>
        <w:numPr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为进一步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改进城市管理、改善人居环境,完善城市治理体系，提高城市治理能力，牢固树立以人民为中心的发展理念,以城市道路综合改造工程、老旧小区综合改造工程、城乡结合部综合改造工程和改进城市精细化管理的“三项工程 一项管理”为抓手,推动辖区环境、品质全面提升,让人民有更多获得感、幸福感和安全感,为加快推进“美丽、人文、法治、廉洁”新博学建设提供坚强动力。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起草依据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《郑东新区党工委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郑东新区管委会关于推进“三项工程 一项管理”改进城市管理与改善人居环境的实施意见》</w:t>
      </w:r>
    </w:p>
    <w:p>
      <w:pPr>
        <w:numPr>
          <w:numId w:val="0"/>
        </w:numPr>
        <w:ind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三、工作目标</w:t>
      </w:r>
    </w:p>
    <w:p>
      <w:pPr>
        <w:numPr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利用两到三年时间,以金水东路、东三环为主的城市道路、贾岗社区及周边、未征集体土地为主体的综合整治工作为重点，全方位、立体化、高标准的完成全域范围的城市管理整治提升工作，全面提升城市管理工作水平，实现城市环境“整洁、有序、舒造、愉悦”目标,满足辖区群众对美好生活的向往，初步形成城市高质量良性可持续发展的长效机制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E1516"/>
    <w:multiLevelType w:val="singleLevel"/>
    <w:tmpl w:val="902E15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44FC2"/>
    <w:rsid w:val="18660428"/>
    <w:rsid w:val="27B17AE4"/>
    <w:rsid w:val="49B50373"/>
    <w:rsid w:val="4DBD3452"/>
    <w:rsid w:val="512270E3"/>
    <w:rsid w:val="55944FC2"/>
    <w:rsid w:val="7F1C3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snapToGrid w:val="0"/>
      <w:w w:val="10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2020-09-28T06:56:00Z</dcterms:created>
  <dc:creator>时光她从不说谎</dc:creator>
  <cp:lastModifiedBy>时光她从不说谎</cp:lastModifiedBy>
  <dcterms:modified xsi:type="dcterms:W3CDTF">2020-09-28T07:00:55Z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